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67" w:rsidRPr="00FA3867" w:rsidRDefault="00FA3867" w:rsidP="00127B0E">
      <w:pPr>
        <w:jc w:val="center"/>
        <w:rPr>
          <w:rFonts w:asciiTheme="majorBidi" w:hAnsiTheme="majorBidi" w:cstheme="majorBidi"/>
          <w:b/>
          <w:bCs/>
          <w:color w:val="00B0F0"/>
          <w:sz w:val="36"/>
          <w:szCs w:val="36"/>
          <w:u w:val="single"/>
        </w:rPr>
      </w:pPr>
      <w:r w:rsidRPr="00FA3867">
        <w:rPr>
          <w:rFonts w:asciiTheme="majorBidi" w:hAnsiTheme="majorBidi" w:cstheme="majorBidi"/>
          <w:b/>
          <w:bCs/>
          <w:color w:val="00B0F0"/>
          <w:sz w:val="36"/>
          <w:szCs w:val="36"/>
          <w:u w:val="single"/>
        </w:rPr>
        <w:t>Résultat des 2 tests</w:t>
      </w:r>
    </w:p>
    <w:p w:rsidR="00FA3867" w:rsidRDefault="00FA3867">
      <w:r w:rsidRPr="00FA3867">
        <w:rPr>
          <w:noProof/>
          <w:lang w:eastAsia="fr-FR"/>
        </w:rPr>
        <w:drawing>
          <wp:inline distT="0" distB="0" distL="0" distR="0">
            <wp:extent cx="9816400" cy="5833641"/>
            <wp:effectExtent l="19050" t="0" r="13400" b="0"/>
            <wp:docPr id="2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FA3867" w:rsidSect="00141225">
      <w:pgSz w:w="16838" w:h="11906" w:orient="landscape"/>
      <w:pgMar w:top="709" w:right="678" w:bottom="709" w:left="709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3867"/>
    <w:rsid w:val="00127B0E"/>
    <w:rsid w:val="00141225"/>
    <w:rsid w:val="00314B26"/>
    <w:rsid w:val="00416D93"/>
    <w:rsid w:val="004D6A3D"/>
    <w:rsid w:val="004E2B14"/>
    <w:rsid w:val="00536CF6"/>
    <w:rsid w:val="0054561F"/>
    <w:rsid w:val="00581587"/>
    <w:rsid w:val="005B5CA7"/>
    <w:rsid w:val="008F21AB"/>
    <w:rsid w:val="00AE10A1"/>
    <w:rsid w:val="00C264F1"/>
    <w:rsid w:val="00C47F9B"/>
    <w:rsid w:val="00FA3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F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A38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38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oussa\Desktop\lm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/>
            </a:pPr>
            <a:r>
              <a:rPr lang="fr-FR"/>
              <a:t>Progrès de chaque élève</a:t>
            </a:r>
            <a:r>
              <a:rPr lang="fr-FR" baseline="0"/>
              <a:t> </a:t>
            </a:r>
            <a:endParaRPr lang="fr-FR"/>
          </a:p>
        </c:rich>
      </c:tx>
    </c:title>
    <c:plotArea>
      <c:layout>
        <c:manualLayout>
          <c:layoutTarget val="inner"/>
          <c:xMode val="edge"/>
          <c:yMode val="edge"/>
          <c:x val="2.7543288774931004E-2"/>
          <c:y val="0.17637874359956976"/>
          <c:w val="0.96532454734173134"/>
          <c:h val="0.75695068926209963"/>
        </c:manualLayout>
      </c:layout>
      <c:lineChart>
        <c:grouping val="standard"/>
        <c:ser>
          <c:idx val="0"/>
          <c:order val="0"/>
          <c:tx>
            <c:strRef>
              <c:f>Feuil1!$F$3</c:f>
              <c:strCache>
                <c:ptCount val="1"/>
                <c:pt idx="0">
                  <c:v>Diagnostique</c:v>
                </c:pt>
              </c:strCache>
            </c:strRef>
          </c:tx>
          <c:cat>
            <c:numRef>
              <c:f>Feuil1!$E$4:$E$44</c:f>
              <c:numCache>
                <c:formatCode>General</c:formatCode>
                <c:ptCount val="4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</c:numCache>
            </c:numRef>
          </c:cat>
          <c:val>
            <c:numRef>
              <c:f>Feuil1!$F$4:$F$44</c:f>
              <c:numCache>
                <c:formatCode>General</c:formatCode>
                <c:ptCount val="41"/>
                <c:pt idx="0">
                  <c:v>2.5499999999999998</c:v>
                </c:pt>
                <c:pt idx="1">
                  <c:v>1.9800000000000009</c:v>
                </c:pt>
                <c:pt idx="2">
                  <c:v>2.1</c:v>
                </c:pt>
                <c:pt idx="3">
                  <c:v>3</c:v>
                </c:pt>
                <c:pt idx="4">
                  <c:v>3</c:v>
                </c:pt>
                <c:pt idx="5">
                  <c:v>2.21</c:v>
                </c:pt>
                <c:pt idx="6">
                  <c:v>2.13</c:v>
                </c:pt>
                <c:pt idx="7">
                  <c:v>1.9200000000000008</c:v>
                </c:pt>
                <c:pt idx="8">
                  <c:v>1.56</c:v>
                </c:pt>
                <c:pt idx="9">
                  <c:v>3.4299999999999997</c:v>
                </c:pt>
                <c:pt idx="10">
                  <c:v>2.4699999999999998</c:v>
                </c:pt>
                <c:pt idx="11">
                  <c:v>2</c:v>
                </c:pt>
                <c:pt idx="12">
                  <c:v>2.8699999999999997</c:v>
                </c:pt>
                <c:pt idx="13">
                  <c:v>2.14</c:v>
                </c:pt>
                <c:pt idx="14">
                  <c:v>3.52</c:v>
                </c:pt>
                <c:pt idx="15">
                  <c:v>2.63</c:v>
                </c:pt>
                <c:pt idx="16">
                  <c:v>4.08</c:v>
                </c:pt>
                <c:pt idx="17">
                  <c:v>3.54</c:v>
                </c:pt>
                <c:pt idx="18">
                  <c:v>4.2</c:v>
                </c:pt>
                <c:pt idx="19">
                  <c:v>3.4699999999999998</c:v>
                </c:pt>
                <c:pt idx="20">
                  <c:v>4</c:v>
                </c:pt>
                <c:pt idx="21">
                  <c:v>3.51</c:v>
                </c:pt>
                <c:pt idx="22">
                  <c:v>3.46</c:v>
                </c:pt>
                <c:pt idx="23">
                  <c:v>4.05</c:v>
                </c:pt>
                <c:pt idx="24">
                  <c:v>4.1899999999999995</c:v>
                </c:pt>
                <c:pt idx="25">
                  <c:v>4.2300000000000004</c:v>
                </c:pt>
                <c:pt idx="26">
                  <c:v>2.4499999999999997</c:v>
                </c:pt>
                <c:pt idx="27">
                  <c:v>4.1199999999999966</c:v>
                </c:pt>
                <c:pt idx="28">
                  <c:v>4</c:v>
                </c:pt>
                <c:pt idx="29">
                  <c:v>3.57</c:v>
                </c:pt>
                <c:pt idx="30">
                  <c:v>4.9300000000000024</c:v>
                </c:pt>
                <c:pt idx="31">
                  <c:v>4</c:v>
                </c:pt>
                <c:pt idx="32">
                  <c:v>4.5599999999999996</c:v>
                </c:pt>
                <c:pt idx="33">
                  <c:v>2.4099999999999997</c:v>
                </c:pt>
                <c:pt idx="34">
                  <c:v>4.05</c:v>
                </c:pt>
                <c:pt idx="35">
                  <c:v>2.11</c:v>
                </c:pt>
                <c:pt idx="36">
                  <c:v>4</c:v>
                </c:pt>
                <c:pt idx="37">
                  <c:v>2.9699999999999998</c:v>
                </c:pt>
                <c:pt idx="38">
                  <c:v>4.4000000000000004</c:v>
                </c:pt>
                <c:pt idx="39">
                  <c:v>4</c:v>
                </c:pt>
                <c:pt idx="40">
                  <c:v>4.67</c:v>
                </c:pt>
              </c:numCache>
            </c:numRef>
          </c:val>
        </c:ser>
        <c:ser>
          <c:idx val="1"/>
          <c:order val="1"/>
          <c:tx>
            <c:strRef>
              <c:f>Feuil1!$G$3</c:f>
              <c:strCache>
                <c:ptCount val="1"/>
                <c:pt idx="0">
                  <c:v>Bilan</c:v>
                </c:pt>
              </c:strCache>
            </c:strRef>
          </c:tx>
          <c:cat>
            <c:numRef>
              <c:f>Feuil1!$E$4:$E$44</c:f>
              <c:numCache>
                <c:formatCode>General</c:formatCode>
                <c:ptCount val="4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</c:numCache>
            </c:numRef>
          </c:cat>
          <c:val>
            <c:numRef>
              <c:f>Feuil1!$G$4:$G$44</c:f>
              <c:numCache>
                <c:formatCode>General</c:formatCode>
                <c:ptCount val="41"/>
                <c:pt idx="0">
                  <c:v>2.75</c:v>
                </c:pt>
                <c:pt idx="1">
                  <c:v>2.19</c:v>
                </c:pt>
                <c:pt idx="2">
                  <c:v>2.23</c:v>
                </c:pt>
                <c:pt idx="3">
                  <c:v>3.34</c:v>
                </c:pt>
                <c:pt idx="4">
                  <c:v>3</c:v>
                </c:pt>
                <c:pt idx="5">
                  <c:v>3.23</c:v>
                </c:pt>
                <c:pt idx="6">
                  <c:v>2.2799999999999998</c:v>
                </c:pt>
                <c:pt idx="7">
                  <c:v>2.12</c:v>
                </c:pt>
                <c:pt idx="8">
                  <c:v>2.7</c:v>
                </c:pt>
                <c:pt idx="9">
                  <c:v>3.54</c:v>
                </c:pt>
                <c:pt idx="10">
                  <c:v>3.61</c:v>
                </c:pt>
                <c:pt idx="11">
                  <c:v>2.67</c:v>
                </c:pt>
                <c:pt idx="12">
                  <c:v>2.9699999999999998</c:v>
                </c:pt>
                <c:pt idx="13">
                  <c:v>2.79</c:v>
                </c:pt>
                <c:pt idx="14">
                  <c:v>3.82</c:v>
                </c:pt>
                <c:pt idx="15">
                  <c:v>3.03</c:v>
                </c:pt>
                <c:pt idx="16">
                  <c:v>4.55</c:v>
                </c:pt>
                <c:pt idx="17">
                  <c:v>4.24</c:v>
                </c:pt>
                <c:pt idx="18">
                  <c:v>5.0999999999999996</c:v>
                </c:pt>
                <c:pt idx="19">
                  <c:v>3.7</c:v>
                </c:pt>
                <c:pt idx="20">
                  <c:v>4.42</c:v>
                </c:pt>
                <c:pt idx="21">
                  <c:v>4.41</c:v>
                </c:pt>
                <c:pt idx="22">
                  <c:v>3.66</c:v>
                </c:pt>
                <c:pt idx="23">
                  <c:v>4.05</c:v>
                </c:pt>
                <c:pt idx="24">
                  <c:v>4.95</c:v>
                </c:pt>
                <c:pt idx="25">
                  <c:v>4.33</c:v>
                </c:pt>
                <c:pt idx="26">
                  <c:v>3.65</c:v>
                </c:pt>
                <c:pt idx="27">
                  <c:v>4.22</c:v>
                </c:pt>
                <c:pt idx="28">
                  <c:v>4.37</c:v>
                </c:pt>
                <c:pt idx="29">
                  <c:v>4.18</c:v>
                </c:pt>
                <c:pt idx="30">
                  <c:v>4.9700000000000024</c:v>
                </c:pt>
                <c:pt idx="31">
                  <c:v>4.58</c:v>
                </c:pt>
                <c:pt idx="32">
                  <c:v>5.0599999999999996</c:v>
                </c:pt>
                <c:pt idx="33">
                  <c:v>3.9099999999999997</c:v>
                </c:pt>
                <c:pt idx="34">
                  <c:v>4.75</c:v>
                </c:pt>
                <c:pt idx="35">
                  <c:v>3.3099999999999987</c:v>
                </c:pt>
                <c:pt idx="36">
                  <c:v>4.1499999999999995</c:v>
                </c:pt>
                <c:pt idx="37">
                  <c:v>3.3</c:v>
                </c:pt>
                <c:pt idx="38">
                  <c:v>4.45</c:v>
                </c:pt>
                <c:pt idx="39">
                  <c:v>4.1499999999999995</c:v>
                </c:pt>
                <c:pt idx="40">
                  <c:v>5.3</c:v>
                </c:pt>
              </c:numCache>
            </c:numRef>
          </c:val>
        </c:ser>
        <c:marker val="1"/>
        <c:axId val="90987904"/>
        <c:axId val="90993792"/>
      </c:lineChart>
      <c:catAx>
        <c:axId val="90987904"/>
        <c:scaling>
          <c:orientation val="minMax"/>
        </c:scaling>
        <c:axPos val="b"/>
        <c:numFmt formatCode="General" sourceLinked="1"/>
        <c:majorTickMark val="none"/>
        <c:tickLblPos val="nextTo"/>
        <c:crossAx val="90993792"/>
        <c:crosses val="autoZero"/>
        <c:auto val="1"/>
        <c:lblAlgn val="ctr"/>
        <c:lblOffset val="100"/>
      </c:catAx>
      <c:valAx>
        <c:axId val="90993792"/>
        <c:scaling>
          <c:orientation val="minMax"/>
        </c:scaling>
        <c:axPos val="l"/>
        <c:majorGridlines/>
        <c:minorGridlines/>
        <c:title>
          <c:tx>
            <c:rich>
              <a:bodyPr rot="0" vert="horz"/>
              <a:lstStyle/>
              <a:p>
                <a:pPr>
                  <a:defRPr sz="1100"/>
                </a:pPr>
                <a:r>
                  <a:rPr lang="fr-FR" sz="1100"/>
                  <a:t>Performance en (m)</a:t>
                </a:r>
              </a:p>
            </c:rich>
          </c:tx>
          <c:layout>
            <c:manualLayout>
              <c:xMode val="edge"/>
              <c:yMode val="edge"/>
              <c:x val="0"/>
              <c:y val="7.13456724754441E-2"/>
            </c:manualLayout>
          </c:layout>
        </c:title>
        <c:numFmt formatCode="General" sourceLinked="1"/>
        <c:majorTickMark val="none"/>
        <c:tickLblPos val="nextTo"/>
        <c:crossAx val="90987904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100" b="1"/>
            </a:pPr>
            <a:endParaRPr lang="fr-FR"/>
          </a:p>
        </c:txPr>
      </c:legendEntry>
      <c:legendEntry>
        <c:idx val="1"/>
        <c:txPr>
          <a:bodyPr/>
          <a:lstStyle/>
          <a:p>
            <a:pPr>
              <a:defRPr sz="1100" b="1"/>
            </a:pPr>
            <a:endParaRPr lang="fr-FR"/>
          </a:p>
        </c:txPr>
      </c:legendEntry>
      <c:layout>
        <c:manualLayout>
          <c:xMode val="edge"/>
          <c:yMode val="edge"/>
          <c:x val="0.67185962116016362"/>
          <c:y val="3.7452913993624742E-2"/>
          <c:w val="0.14304143961991694"/>
          <c:h val="0.11606340996785049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8</cp:revision>
  <dcterms:created xsi:type="dcterms:W3CDTF">2012-05-27T05:48:00Z</dcterms:created>
  <dcterms:modified xsi:type="dcterms:W3CDTF">2012-05-27T20:47:00Z</dcterms:modified>
</cp:coreProperties>
</file>